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7. PARTIES DU CORPS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Jean petit qui danse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израза који се односе на делове тела. Употреба израза за давање инструкција.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препозна и именује појмове у вези са деловима тела и лица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једноставне описе живих бића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описује жива бића уз помоћ једноставних израза (бројеви, боје)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позив и реагује на њега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-разуме и упућује инструкције и реагује на њих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 васпитање,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Le jeu du robot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изведе једног ученика пред таблу и каже: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lang w:val="sr-RS"/>
              </w:rPr>
            </w:r>
          </w:p>
          <w:p>
            <w:pPr>
              <w:pStyle w:val="Normal"/>
              <w:jc w:val="center"/>
              <w:rPr>
                <w:i/>
                <w:i/>
                <w:iCs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Tu es mon robot! Tourne la tête! Stop! Marche! Stop! Frappe des mains! Stop! Lève les bras! Stop!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</w:pPr>
            <w:r>
              <w:rPr>
                <w:lang w:val="sr-Latn-RS"/>
              </w:rPr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Уколико ученик не разуме неку инструкцију, наставник сам изведе покрет.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ученици играју игру у паровима, наизменично имитирајући робота и дајући инструкције.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пушта аудио запис песме ЦД 2/40, ученици прате илустрације у уџбенику на стр. 52. Реч је о познатој песми о кловну који плеше свим деловима тела.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u w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пушта и видео запис исте песме, проширене на скоро све делове тела. Позива ученике да устану и певају и играју уз музику.</w:t>
            </w:r>
          </w:p>
          <w:p>
            <w:pPr>
              <w:pStyle w:val="Normal"/>
              <w:jc w:val="both"/>
              <w:rPr>
                <w:u w:val="none"/>
              </w:rPr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/>
                </w:rPr>
                <w:t>https://www.youtube.com/watch?v=7kFaVryoNdo&amp;feature=emb_logo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lang w:val="sr-RS" w:eastAsia="sr-Latn-CS"/>
              </w:rPr>
            </w:pPr>
            <w:r>
              <w:rPr>
                <w:u w:val="none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цртају Малог Жана.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7kFaVryoNdo&amp;feature=emb_log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LibreOffice/5.3.2.2$Windows_x86 LibreOffice_project/6cd4f1ef626f15116896b1d8e1398b56da0d0ee1</Application>
  <Pages>2</Pages>
  <Words>293</Words>
  <Characters>1641</Characters>
  <CharactersWithSpaces>1897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2020-08-30T16:58:31Z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